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89D64" w14:textId="0ED093FA" w:rsidR="009E2011" w:rsidRPr="00E13480" w:rsidRDefault="003A446B" w:rsidP="009E2011">
      <w:pPr>
        <w:rPr>
          <w:b/>
          <w:bCs/>
          <w:sz w:val="28"/>
          <w:szCs w:val="28"/>
        </w:rPr>
      </w:pPr>
      <w:r w:rsidRPr="00E13480">
        <w:rPr>
          <w:b/>
          <w:bCs/>
          <w:sz w:val="28"/>
          <w:szCs w:val="28"/>
        </w:rPr>
        <w:t xml:space="preserve">Modelle der „Eingewöhnung“ in neue Elementare </w:t>
      </w:r>
      <w:r w:rsidR="005B798A" w:rsidRPr="00E13480">
        <w:rPr>
          <w:b/>
          <w:bCs/>
          <w:sz w:val="28"/>
          <w:szCs w:val="28"/>
        </w:rPr>
        <w:t>Bildungsinstitute</w:t>
      </w:r>
    </w:p>
    <w:p w14:paraId="5077157F" w14:textId="77777777" w:rsidR="009E2011" w:rsidRDefault="009E2011" w:rsidP="009E2011"/>
    <w:p w14:paraId="0E7ADD2D" w14:textId="77777777" w:rsidR="009E2011" w:rsidRPr="003A446B" w:rsidRDefault="009E2011" w:rsidP="009E2011">
      <w:pPr>
        <w:rPr>
          <w:b/>
          <w:bCs/>
        </w:rPr>
      </w:pPr>
      <w:r w:rsidRPr="003A446B">
        <w:rPr>
          <w:b/>
          <w:bCs/>
        </w:rPr>
        <w:t>Das Berliner Eingewöhnungsmodell</w:t>
      </w:r>
    </w:p>
    <w:p w14:paraId="1A83C2EB" w14:textId="3497A77C" w:rsidR="009E2011" w:rsidRDefault="00710764" w:rsidP="009E2011">
      <w:r>
        <w:t>gibt es seit</w:t>
      </w:r>
      <w:r w:rsidR="009E2011">
        <w:t xml:space="preserve"> den 1980-er Jahre</w:t>
      </w:r>
      <w:r>
        <w:t>n</w:t>
      </w:r>
      <w:r w:rsidR="009E2011">
        <w:t xml:space="preserve">. </w:t>
      </w:r>
    </w:p>
    <w:p w14:paraId="4BD9745B" w14:textId="2514A395" w:rsidR="009E2011" w:rsidRDefault="00710764" w:rsidP="009E2011">
      <w:r>
        <w:t>Für das Modell k</w:t>
      </w:r>
      <w:r w:rsidR="009E2011">
        <w:t xml:space="preserve">ennzeichnend sind </w:t>
      </w:r>
    </w:p>
    <w:p w14:paraId="083756A6" w14:textId="20F5011A" w:rsidR="003A446B" w:rsidRDefault="009E2011" w:rsidP="009E2011">
      <w:pPr>
        <w:pStyle w:val="Listenabsatz"/>
        <w:numPr>
          <w:ilvl w:val="0"/>
          <w:numId w:val="1"/>
        </w:numPr>
      </w:pPr>
      <w:r>
        <w:t xml:space="preserve">die anfänglich intensive Begleitung der primären Bezugsperson(en), die erst schrittweise verringert wird. </w:t>
      </w:r>
    </w:p>
    <w:p w14:paraId="088AF46E" w14:textId="72381397" w:rsidR="003A446B" w:rsidRDefault="009E2011" w:rsidP="009E2011">
      <w:pPr>
        <w:pStyle w:val="Listenabsatz"/>
        <w:numPr>
          <w:ilvl w:val="0"/>
          <w:numId w:val="1"/>
        </w:numPr>
      </w:pPr>
      <w:r>
        <w:t>die Vertrauensbasis und die gute Kooperation zwischen primärer Bezugsperson und Elementarpädagog*in.</w:t>
      </w:r>
    </w:p>
    <w:p w14:paraId="30E6AEF2" w14:textId="77777777" w:rsidR="003A446B" w:rsidRDefault="009E2011" w:rsidP="009E2011">
      <w:pPr>
        <w:pStyle w:val="Listenabsatz"/>
        <w:numPr>
          <w:ilvl w:val="0"/>
          <w:numId w:val="1"/>
        </w:numPr>
      </w:pPr>
      <w:r>
        <w:t>ein individuell unterschiedlich aber tendenziell länger andauernder Prozess.</w:t>
      </w:r>
    </w:p>
    <w:p w14:paraId="0C82916A" w14:textId="1CD23C9A" w:rsidR="009E2011" w:rsidRDefault="009E2011" w:rsidP="009E2011">
      <w:pPr>
        <w:pStyle w:val="Listenabsatz"/>
        <w:numPr>
          <w:ilvl w:val="0"/>
          <w:numId w:val="1"/>
        </w:numPr>
      </w:pPr>
      <w:r>
        <w:t>eine langsame Gewöhnung an die neue Bezugsperson, welche möglichst konstant dieselbe ist.</w:t>
      </w:r>
    </w:p>
    <w:p w14:paraId="0BC93401" w14:textId="76398664" w:rsidR="009E2011" w:rsidRDefault="00710764" w:rsidP="009E2011">
      <w:r>
        <w:t>Für den Erfolg ausschlaggebend ist</w:t>
      </w:r>
      <w:r w:rsidR="009E2011">
        <w:t>, dass das Kind sich am Anfang nur kurze Zeit in der</w:t>
      </w:r>
      <w:r w:rsidR="00C82D71">
        <w:t xml:space="preserve"> </w:t>
      </w:r>
      <w:r w:rsidR="009E2011">
        <w:t>Bildungseinrichtung aufhält. Das Modell sieht vor, dass während der ersten drei Tage (Richtwert) die primäre Bezugsperson zwar passiv, aber doch anwesend und damit greifbar ist. Am vierten Tag (der kein Montag sein soll), kann das Kind schon für kurze Zeit allein gelassen werden. Danach folgt die Phase der Exploration</w:t>
      </w:r>
      <w:r w:rsidR="00C82D71">
        <w:t xml:space="preserve"> </w:t>
      </w:r>
      <w:r w:rsidR="009E2011">
        <w:t>(</w:t>
      </w:r>
      <w:r w:rsidR="00C82D71">
        <w:t>=</w:t>
      </w:r>
      <w:r w:rsidR="009E2011">
        <w:t xml:space="preserve">Stabilisierungsphase). </w:t>
      </w:r>
      <w:r>
        <w:t>Während dieser Zeit</w:t>
      </w:r>
      <w:r w:rsidR="009E2011">
        <w:t xml:space="preserve"> der Annäherung wird die fremde Person zur neuen Bezugsperson. </w:t>
      </w:r>
      <w:r>
        <w:t>Die Phase ist abgeschlossen, wenn</w:t>
      </w:r>
      <w:r w:rsidR="00C82D71">
        <w:t xml:space="preserve"> sich das</w:t>
      </w:r>
      <w:r w:rsidR="009E2011">
        <w:t xml:space="preserve"> Kind trösten</w:t>
      </w:r>
      <w:r w:rsidR="00C82D71">
        <w:t xml:space="preserve"> lässt</w:t>
      </w:r>
      <w:r w:rsidR="009E2011">
        <w:t>, auch wenn die Eltern weg sind (</w:t>
      </w:r>
      <w:r w:rsidR="00C82D71">
        <w:t>=</w:t>
      </w:r>
      <w:r w:rsidR="009E2011">
        <w:t xml:space="preserve">Schlussphase). </w:t>
      </w:r>
    </w:p>
    <w:p w14:paraId="48FC660E" w14:textId="492E4B3A" w:rsidR="00C82D71" w:rsidRDefault="00C82D71" w:rsidP="009E2011">
      <w:pPr>
        <w:rPr>
          <w:rFonts w:ascii="Helvetica" w:eastAsia="Times New Roman" w:hAnsi="Helvetica" w:cs="Times New Roman"/>
          <w:color w:val="141413"/>
          <w:sz w:val="14"/>
          <w:szCs w:val="14"/>
          <w:lang w:eastAsia="de-DE"/>
        </w:rPr>
      </w:pPr>
    </w:p>
    <w:p w14:paraId="4C639EAE" w14:textId="3BE0CD03" w:rsidR="00C310F1" w:rsidRDefault="00C310F1" w:rsidP="009E2011"/>
    <w:p w14:paraId="50AD11AB" w14:textId="1299D10F" w:rsidR="009D41B5" w:rsidRDefault="009D41B5" w:rsidP="009E2011">
      <w:r w:rsidRPr="00880100">
        <w:rPr>
          <w:b/>
          <w:bCs/>
        </w:rPr>
        <w:t>Das „Münchner Modell“</w:t>
      </w:r>
      <w:r w:rsidRPr="00880100">
        <w:rPr>
          <w:b/>
          <w:bCs/>
        </w:rPr>
        <w:br/>
      </w:r>
      <w:r>
        <w:t>wurde etwa zur selben Zeit entwickelt und nimmt die Kleinstkinder und ihre Bedürfnisse in der stressigen Phase</w:t>
      </w:r>
      <w:r w:rsidR="00880100">
        <w:t xml:space="preserve"> der „Eingewöhnung“</w:t>
      </w:r>
      <w:r>
        <w:t xml:space="preserve"> in den Blick. Auch hier soll das Kind allmählich in die Gruppe integriert werden. Kinder, die sich langsamer </w:t>
      </w:r>
      <w:r w:rsidR="00880100">
        <w:t xml:space="preserve">an das neue Umfeld </w:t>
      </w:r>
      <w:r>
        <w:t>gewöh</w:t>
      </w:r>
      <w:r w:rsidR="00880100">
        <w:t>n</w:t>
      </w:r>
      <w:r>
        <w:t xml:space="preserve">en, </w:t>
      </w:r>
      <w:r w:rsidR="00880100">
        <w:t xml:space="preserve">zeigen </w:t>
      </w:r>
      <w:r>
        <w:t xml:space="preserve">zwar </w:t>
      </w:r>
      <w:r w:rsidR="00710764">
        <w:t xml:space="preserve">anfänglich </w:t>
      </w:r>
      <w:r w:rsidR="00880100">
        <w:t xml:space="preserve">Reaktionen wie weinen und Unwohlsein, während sie sich mit </w:t>
      </w:r>
      <w:r>
        <w:t>den Stressfaktoren</w:t>
      </w:r>
      <w:r w:rsidR="00710764">
        <w:t xml:space="preserve"> </w:t>
      </w:r>
      <w:r>
        <w:t>auseinandersetzen m</w:t>
      </w:r>
      <w:r w:rsidR="00710764">
        <w:t>üss</w:t>
      </w:r>
      <w:r>
        <w:t>en. Jedoch</w:t>
      </w:r>
      <w:r w:rsidR="00710764">
        <w:t xml:space="preserve">, so zeigt die Forschung, </w:t>
      </w:r>
      <w:r>
        <w:t xml:space="preserve">weinen sie langfristig weniger als Kinder mit einer abrupten </w:t>
      </w:r>
      <w:r w:rsidR="00710764">
        <w:t>„</w:t>
      </w:r>
      <w:r>
        <w:t>Eingewöhnung</w:t>
      </w:r>
      <w:r w:rsidR="00710764">
        <w:t>“</w:t>
      </w:r>
      <w:r>
        <w:t xml:space="preserve">. </w:t>
      </w:r>
    </w:p>
    <w:p w14:paraId="56CDB5D4" w14:textId="138CDBAA" w:rsidR="009D41B5" w:rsidRDefault="009D41B5" w:rsidP="009E2011">
      <w:r>
        <w:t xml:space="preserve">Die Eckpunkte des Modells </w:t>
      </w:r>
      <w:r w:rsidR="00CE62C0">
        <w:t>richten sich an die Bedürfnisse des sehr jungen Kindes:</w:t>
      </w:r>
    </w:p>
    <w:p w14:paraId="75885871" w14:textId="6DF1BE46" w:rsidR="00CE62C0" w:rsidRDefault="00CE62C0" w:rsidP="00CE62C0">
      <w:pPr>
        <w:pStyle w:val="Listenabsatz"/>
        <w:numPr>
          <w:ilvl w:val="0"/>
          <w:numId w:val="2"/>
        </w:numPr>
      </w:pPr>
      <w:r>
        <w:t xml:space="preserve">Schon vor dem Kennenlernen wird </w:t>
      </w:r>
      <w:r w:rsidR="006E6B71">
        <w:t>eine</w:t>
      </w:r>
      <w:r>
        <w:t xml:space="preserve"> Bezugsperson im Team gewählt, die den Prozess begleitet.</w:t>
      </w:r>
    </w:p>
    <w:p w14:paraId="17DC0C8B" w14:textId="2B240545" w:rsidR="00CE62C0" w:rsidRDefault="00880100" w:rsidP="00CE62C0">
      <w:pPr>
        <w:pStyle w:val="Listenabsatz"/>
        <w:numPr>
          <w:ilvl w:val="0"/>
          <w:numId w:val="2"/>
        </w:numPr>
      </w:pPr>
      <w:r>
        <w:t xml:space="preserve">Der*die </w:t>
      </w:r>
      <w:r w:rsidR="00CE62C0">
        <w:t>Pädagog</w:t>
      </w:r>
      <w:r>
        <w:t>*</w:t>
      </w:r>
      <w:r w:rsidR="00CE62C0">
        <w:t>in erfragt Interessen und Vorlieben des Kindes</w:t>
      </w:r>
      <w:r w:rsidR="006E6B71">
        <w:t>.</w:t>
      </w:r>
    </w:p>
    <w:p w14:paraId="5F34B5A2" w14:textId="0CD10043" w:rsidR="00CE62C0" w:rsidRDefault="00CE62C0" w:rsidP="00CE62C0">
      <w:pPr>
        <w:pStyle w:val="Listenabsatz"/>
        <w:numPr>
          <w:ilvl w:val="0"/>
          <w:numId w:val="2"/>
        </w:numPr>
      </w:pPr>
      <w:r>
        <w:t xml:space="preserve">Die schrittweise Eingewöhnung braucht zumindest </w:t>
      </w:r>
      <w:r w:rsidR="006E6B71">
        <w:t>fünf</w:t>
      </w:r>
      <w:r>
        <w:t xml:space="preserve"> Tage.</w:t>
      </w:r>
    </w:p>
    <w:p w14:paraId="35C7DFD2" w14:textId="4203A89B" w:rsidR="00CE62C0" w:rsidRDefault="00CE62C0" w:rsidP="00CE62C0">
      <w:pPr>
        <w:pStyle w:val="Listenabsatz"/>
        <w:numPr>
          <w:ilvl w:val="0"/>
          <w:numId w:val="2"/>
        </w:numPr>
      </w:pPr>
      <w:r>
        <w:t>Eltern sind anfänglich da, geben das Gefühl von Sicherheit, doch die gleichaltrigen Kinder der Gruppe übernehmen den „aktiven Part“ der Eingewöhnung</w:t>
      </w:r>
      <w:r w:rsidR="00710764">
        <w:t>.</w:t>
      </w:r>
    </w:p>
    <w:p w14:paraId="027813A8" w14:textId="469D7B9B" w:rsidR="00CE62C0" w:rsidRDefault="00CE62C0" w:rsidP="00CE62C0">
      <w:pPr>
        <w:pStyle w:val="Listenabsatz"/>
        <w:numPr>
          <w:ilvl w:val="0"/>
          <w:numId w:val="2"/>
        </w:numPr>
      </w:pPr>
      <w:r>
        <w:t>Wenn der Kontakt zu anderen da ist und das Kind sich von de</w:t>
      </w:r>
      <w:r w:rsidR="006E6B71">
        <w:t>m</w:t>
      </w:r>
      <w:r>
        <w:t>*de</w:t>
      </w:r>
      <w:r w:rsidR="006E6B71">
        <w:t>r</w:t>
      </w:r>
      <w:r>
        <w:t xml:space="preserve"> </w:t>
      </w:r>
      <w:proofErr w:type="spellStart"/>
      <w:r>
        <w:t>Pädagog</w:t>
      </w:r>
      <w:proofErr w:type="spellEnd"/>
      <w:r>
        <w:t>*</w:t>
      </w:r>
      <w:r w:rsidR="006E6B71">
        <w:t>i</w:t>
      </w:r>
      <w:r>
        <w:t xml:space="preserve">n trösten lässt, kann die erste Trennung zum Elternteil erfolgen: </w:t>
      </w:r>
      <w:r w:rsidR="00710764">
        <w:t xml:space="preserve">am Beginn </w:t>
      </w:r>
      <w:r>
        <w:t>maximal 10–30 Minuten</w:t>
      </w:r>
      <w:r w:rsidR="006E6B71">
        <w:t>.</w:t>
      </w:r>
    </w:p>
    <w:p w14:paraId="36BBCDA0" w14:textId="229BB9A2" w:rsidR="00CE62C0" w:rsidRDefault="00CE62C0" w:rsidP="00CE62C0">
      <w:pPr>
        <w:pStyle w:val="Listenabsatz"/>
        <w:numPr>
          <w:ilvl w:val="0"/>
          <w:numId w:val="2"/>
        </w:numPr>
      </w:pPr>
      <w:r>
        <w:t xml:space="preserve">Elternteile verabschieden sich deutlich. </w:t>
      </w:r>
    </w:p>
    <w:p w14:paraId="43F853F7" w14:textId="7E86D5DE" w:rsidR="00CE62C0" w:rsidRDefault="00CE62C0" w:rsidP="00CE62C0">
      <w:pPr>
        <w:pStyle w:val="Listenabsatz"/>
        <w:numPr>
          <w:ilvl w:val="0"/>
          <w:numId w:val="2"/>
        </w:numPr>
      </w:pPr>
      <w:r>
        <w:t>Das Kind entscheidet, wie viel Nähe oder Distanz es möchte!</w:t>
      </w:r>
    </w:p>
    <w:p w14:paraId="239F4B99" w14:textId="77777777" w:rsidR="006E6B71" w:rsidRDefault="006E6B71" w:rsidP="006E6B71">
      <w:pPr>
        <w:pStyle w:val="Listenabsatz"/>
      </w:pPr>
    </w:p>
    <w:p w14:paraId="00E89E9F" w14:textId="6A558783" w:rsidR="00880100" w:rsidRDefault="00CE62C0" w:rsidP="00CE62C0">
      <w:r>
        <w:t xml:space="preserve">Wichtig ist, dass der Kontakt zwischen Pädagog*in und Eltern in der ersten Phase, aber auch darüber hinaus gut ist. Reflexionsgespräche </w:t>
      </w:r>
      <w:r w:rsidR="00880100">
        <w:t>auf einer Vertrauensbasis bilden auch weiterhin eine bedeutsame Basis.</w:t>
      </w:r>
    </w:p>
    <w:sectPr w:rsidR="00880100" w:rsidSect="00710764">
      <w:footerReference w:type="default" r:id="rId7"/>
      <w:pgSz w:w="11906" w:h="16838"/>
      <w:pgMar w:top="1319"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AF17B" w14:textId="77777777" w:rsidR="002610B8" w:rsidRDefault="002610B8" w:rsidP="00710764">
      <w:r>
        <w:separator/>
      </w:r>
    </w:p>
  </w:endnote>
  <w:endnote w:type="continuationSeparator" w:id="0">
    <w:p w14:paraId="2640B12F" w14:textId="77777777" w:rsidR="002610B8" w:rsidRDefault="002610B8" w:rsidP="00710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447CF" w14:textId="627804D4" w:rsidR="00710764" w:rsidRPr="006E6B71" w:rsidRDefault="00710764" w:rsidP="006E6B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1"/>
        <w:szCs w:val="21"/>
        <w:lang w:val="de-DE"/>
      </w:rPr>
    </w:pPr>
    <w:r w:rsidRPr="006E6B71">
      <w:rPr>
        <w:sz w:val="21"/>
        <w:szCs w:val="21"/>
      </w:rPr>
      <w:t xml:space="preserve">Vgl. </w:t>
    </w:r>
    <w:r w:rsidRPr="006E6B71">
      <w:rPr>
        <w:rFonts w:cs="Helvetica"/>
        <w:sz w:val="21"/>
        <w:szCs w:val="21"/>
        <w:lang w:val="de-DE"/>
      </w:rPr>
      <w:t xml:space="preserve">Griebel, Wilfried/Niesel, Renate: Übergänge verstehen und belgeiten. Transitionen in der Bildungslaufbahn von Kindern, Berlin: Verlag an der Ruhr </w:t>
    </w:r>
    <w:r w:rsidRPr="006E6B71">
      <w:rPr>
        <w:rFonts w:cs="Helvetica"/>
        <w:sz w:val="21"/>
        <w:szCs w:val="21"/>
        <w:vertAlign w:val="superscript"/>
        <w:lang w:val="de-DE"/>
      </w:rPr>
      <w:t>6</w:t>
    </w:r>
    <w:r w:rsidRPr="006E6B71">
      <w:rPr>
        <w:rFonts w:cs="Helvetica"/>
        <w:sz w:val="21"/>
        <w:szCs w:val="21"/>
        <w:lang w:val="de-DE"/>
      </w:rPr>
      <w:t>2021, 68–72.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2BEBD" w14:textId="77777777" w:rsidR="002610B8" w:rsidRDefault="002610B8" w:rsidP="00710764">
      <w:r>
        <w:separator/>
      </w:r>
    </w:p>
  </w:footnote>
  <w:footnote w:type="continuationSeparator" w:id="0">
    <w:p w14:paraId="589895D4" w14:textId="77777777" w:rsidR="002610B8" w:rsidRDefault="002610B8" w:rsidP="007107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70EFA"/>
    <w:multiLevelType w:val="hybridMultilevel"/>
    <w:tmpl w:val="8F02A9C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6F4330A"/>
    <w:multiLevelType w:val="hybridMultilevel"/>
    <w:tmpl w:val="88E2EEA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54202047">
    <w:abstractNumId w:val="1"/>
  </w:num>
  <w:num w:numId="2" w16cid:durableId="717238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011"/>
    <w:rsid w:val="002610B8"/>
    <w:rsid w:val="002936B5"/>
    <w:rsid w:val="00385EEC"/>
    <w:rsid w:val="003A446B"/>
    <w:rsid w:val="003F6DC2"/>
    <w:rsid w:val="00424376"/>
    <w:rsid w:val="00516575"/>
    <w:rsid w:val="005B798A"/>
    <w:rsid w:val="006579E2"/>
    <w:rsid w:val="006E6B71"/>
    <w:rsid w:val="00710764"/>
    <w:rsid w:val="00730A70"/>
    <w:rsid w:val="00880100"/>
    <w:rsid w:val="009D41B5"/>
    <w:rsid w:val="009E2011"/>
    <w:rsid w:val="00B67568"/>
    <w:rsid w:val="00B921D3"/>
    <w:rsid w:val="00C310F1"/>
    <w:rsid w:val="00C444A1"/>
    <w:rsid w:val="00C82D71"/>
    <w:rsid w:val="00CE62C0"/>
    <w:rsid w:val="00D327C6"/>
    <w:rsid w:val="00DD77BB"/>
    <w:rsid w:val="00E13480"/>
    <w:rsid w:val="00FB384B"/>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31560"/>
  <w15:chartTrackingRefBased/>
  <w15:docId w15:val="{DDA0C50D-0B8D-0647-9390-D3658F3B9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9E20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9E20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9E2011"/>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9E2011"/>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9E2011"/>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9E2011"/>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9E2011"/>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9E2011"/>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9E2011"/>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E2011"/>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9E2011"/>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9E2011"/>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9E2011"/>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9E2011"/>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9E2011"/>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9E2011"/>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9E2011"/>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9E2011"/>
    <w:rPr>
      <w:rFonts w:eastAsiaTheme="majorEastAsia" w:cstheme="majorBidi"/>
      <w:color w:val="272727" w:themeColor="text1" w:themeTint="D8"/>
    </w:rPr>
  </w:style>
  <w:style w:type="paragraph" w:styleId="Titel">
    <w:name w:val="Title"/>
    <w:basedOn w:val="Standard"/>
    <w:next w:val="Standard"/>
    <w:link w:val="TitelZchn"/>
    <w:uiPriority w:val="10"/>
    <w:qFormat/>
    <w:rsid w:val="009E2011"/>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9E2011"/>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9E2011"/>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9E2011"/>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9E2011"/>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9E2011"/>
    <w:rPr>
      <w:i/>
      <w:iCs/>
      <w:color w:val="404040" w:themeColor="text1" w:themeTint="BF"/>
    </w:rPr>
  </w:style>
  <w:style w:type="paragraph" w:styleId="Listenabsatz">
    <w:name w:val="List Paragraph"/>
    <w:basedOn w:val="Standard"/>
    <w:uiPriority w:val="34"/>
    <w:qFormat/>
    <w:rsid w:val="009E2011"/>
    <w:pPr>
      <w:ind w:left="720"/>
      <w:contextualSpacing/>
    </w:pPr>
  </w:style>
  <w:style w:type="character" w:styleId="IntensiveHervorhebung">
    <w:name w:val="Intense Emphasis"/>
    <w:basedOn w:val="Absatz-Standardschriftart"/>
    <w:uiPriority w:val="21"/>
    <w:qFormat/>
    <w:rsid w:val="009E2011"/>
    <w:rPr>
      <w:i/>
      <w:iCs/>
      <w:color w:val="0F4761" w:themeColor="accent1" w:themeShade="BF"/>
    </w:rPr>
  </w:style>
  <w:style w:type="paragraph" w:styleId="IntensivesZitat">
    <w:name w:val="Intense Quote"/>
    <w:basedOn w:val="Standard"/>
    <w:next w:val="Standard"/>
    <w:link w:val="IntensivesZitatZchn"/>
    <w:uiPriority w:val="30"/>
    <w:qFormat/>
    <w:rsid w:val="009E20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9E2011"/>
    <w:rPr>
      <w:i/>
      <w:iCs/>
      <w:color w:val="0F4761" w:themeColor="accent1" w:themeShade="BF"/>
    </w:rPr>
  </w:style>
  <w:style w:type="character" w:styleId="IntensiverVerweis">
    <w:name w:val="Intense Reference"/>
    <w:basedOn w:val="Absatz-Standardschriftart"/>
    <w:uiPriority w:val="32"/>
    <w:qFormat/>
    <w:rsid w:val="009E2011"/>
    <w:rPr>
      <w:b/>
      <w:bCs/>
      <w:smallCaps/>
      <w:color w:val="0F4761" w:themeColor="accent1" w:themeShade="BF"/>
      <w:spacing w:val="5"/>
    </w:rPr>
  </w:style>
  <w:style w:type="paragraph" w:customStyle="1" w:styleId="p1">
    <w:name w:val="p1"/>
    <w:basedOn w:val="Standard"/>
    <w:rsid w:val="00C82D71"/>
    <w:rPr>
      <w:rFonts w:ascii="Helvetica" w:eastAsia="Times New Roman" w:hAnsi="Helvetica" w:cs="Times New Roman"/>
      <w:color w:val="141413"/>
      <w:sz w:val="14"/>
      <w:szCs w:val="14"/>
      <w:lang w:eastAsia="de-DE"/>
    </w:rPr>
  </w:style>
  <w:style w:type="paragraph" w:customStyle="1" w:styleId="paragraph">
    <w:name w:val="paragraph"/>
    <w:basedOn w:val="Standard"/>
    <w:rsid w:val="00C82D71"/>
    <w:pPr>
      <w:spacing w:before="100" w:beforeAutospacing="1" w:after="100" w:afterAutospacing="1"/>
    </w:pPr>
    <w:rPr>
      <w:rFonts w:ascii="Times New Roman" w:eastAsia="Times New Roman" w:hAnsi="Times New Roman" w:cs="Times New Roman"/>
      <w:lang w:eastAsia="de-DE"/>
    </w:rPr>
  </w:style>
  <w:style w:type="character" w:customStyle="1" w:styleId="normaltextrun">
    <w:name w:val="normaltextrun"/>
    <w:basedOn w:val="Absatz-Standardschriftart"/>
    <w:rsid w:val="00C82D71"/>
  </w:style>
  <w:style w:type="character" w:customStyle="1" w:styleId="eop">
    <w:name w:val="eop"/>
    <w:basedOn w:val="Absatz-Standardschriftart"/>
    <w:rsid w:val="00C82D71"/>
  </w:style>
  <w:style w:type="character" w:customStyle="1" w:styleId="scxw167043704">
    <w:name w:val="scxw167043704"/>
    <w:basedOn w:val="Absatz-Standardschriftart"/>
    <w:rsid w:val="00C82D71"/>
  </w:style>
  <w:style w:type="paragraph" w:customStyle="1" w:styleId="p2">
    <w:name w:val="p2"/>
    <w:basedOn w:val="Standard"/>
    <w:rsid w:val="00730A70"/>
    <w:rPr>
      <w:rFonts w:ascii="Helvetica" w:eastAsia="Times New Roman" w:hAnsi="Helvetica" w:cs="Times New Roman"/>
      <w:color w:val="141413"/>
      <w:sz w:val="15"/>
      <w:szCs w:val="15"/>
      <w:lang w:eastAsia="de-DE"/>
    </w:rPr>
  </w:style>
  <w:style w:type="character" w:customStyle="1" w:styleId="s1">
    <w:name w:val="s1"/>
    <w:basedOn w:val="Absatz-Standardschriftart"/>
    <w:rsid w:val="00730A70"/>
    <w:rPr>
      <w:rFonts w:ascii="Helvetica" w:hAnsi="Helvetica" w:hint="default"/>
      <w:color w:val="E37423"/>
      <w:sz w:val="38"/>
      <w:szCs w:val="38"/>
    </w:rPr>
  </w:style>
  <w:style w:type="paragraph" w:styleId="Kopfzeile">
    <w:name w:val="header"/>
    <w:basedOn w:val="Standard"/>
    <w:link w:val="KopfzeileZchn"/>
    <w:uiPriority w:val="99"/>
    <w:unhideWhenUsed/>
    <w:rsid w:val="00710764"/>
    <w:pPr>
      <w:tabs>
        <w:tab w:val="center" w:pos="4536"/>
        <w:tab w:val="right" w:pos="9072"/>
      </w:tabs>
    </w:pPr>
  </w:style>
  <w:style w:type="character" w:customStyle="1" w:styleId="KopfzeileZchn">
    <w:name w:val="Kopfzeile Zchn"/>
    <w:basedOn w:val="Absatz-Standardschriftart"/>
    <w:link w:val="Kopfzeile"/>
    <w:uiPriority w:val="99"/>
    <w:rsid w:val="00710764"/>
  </w:style>
  <w:style w:type="paragraph" w:styleId="Fuzeile">
    <w:name w:val="footer"/>
    <w:basedOn w:val="Standard"/>
    <w:link w:val="FuzeileZchn"/>
    <w:uiPriority w:val="99"/>
    <w:unhideWhenUsed/>
    <w:rsid w:val="00710764"/>
    <w:pPr>
      <w:tabs>
        <w:tab w:val="center" w:pos="4536"/>
        <w:tab w:val="right" w:pos="9072"/>
      </w:tabs>
    </w:pPr>
  </w:style>
  <w:style w:type="character" w:customStyle="1" w:styleId="FuzeileZchn">
    <w:name w:val="Fußzeile Zchn"/>
    <w:basedOn w:val="Absatz-Standardschriftart"/>
    <w:link w:val="Fuzeile"/>
    <w:uiPriority w:val="99"/>
    <w:rsid w:val="007107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360</Words>
  <Characters>2268</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Feiel</dc:creator>
  <cp:keywords/>
  <dc:description/>
  <cp:lastModifiedBy>Stefanie Strohmaier</cp:lastModifiedBy>
  <cp:revision>2</cp:revision>
  <dcterms:created xsi:type="dcterms:W3CDTF">2026-02-08T20:56:00Z</dcterms:created>
  <dcterms:modified xsi:type="dcterms:W3CDTF">2026-02-08T20:56:00Z</dcterms:modified>
</cp:coreProperties>
</file>